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9"/>
      </w:tblGrid>
      <w:tr w:rsidR="00EC0CA6" w:rsidRPr="00EC0CA6" w:rsidTr="009F6BC6">
        <w:trPr>
          <w:tblCellSpacing w:w="3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781"/>
            </w:tblGrid>
            <w:tr w:rsidR="00EC0CA6" w:rsidRPr="00EC0C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176A2" w:rsidRDefault="001176A2" w:rsidP="001176A2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ВІННИЦЬКИЙ НАЦІОНАЛЬНИЙ МЕДИЧНИЙ УНІВЕРСИТЕТ</w:t>
                  </w:r>
                </w:p>
                <w:p w:rsidR="001176A2" w:rsidRDefault="001176A2" w:rsidP="001176A2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ім. М.І. ПИРОГОВА</w:t>
                  </w: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ІНТЕРНАТУРА</w:t>
                  </w:r>
                </w:p>
                <w:p w:rsidR="001176A2" w:rsidRDefault="001176A2" w:rsidP="001176A2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˝ДИТЯЧА ХІРУРГІЯ˝</w:t>
                  </w: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76A2" w:rsidRDefault="001176A2" w:rsidP="001176A2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9F6BC6" w:rsidRPr="001176A2" w:rsidRDefault="001176A2" w:rsidP="001176A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Лекція</w:t>
                  </w: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: </w:t>
                  </w:r>
                  <w:bookmarkEnd w:id="0"/>
                  <w:r w:rsidRPr="001176A2">
                    <w:rPr>
                      <w:rFonts w:ascii="Times New Roman" w:eastAsia="Times New Roman" w:hAnsi="Times New Roman" w:cs="Times New Roman"/>
                      <w:b/>
                      <w:bCs/>
                      <w:sz w:val="40"/>
                      <w:szCs w:val="40"/>
                      <w:lang w:val="ru-RU"/>
                    </w:rPr>
                    <w:t>П</w:t>
                  </w:r>
                  <w:r w:rsidRPr="001176A2">
                    <w:rPr>
                      <w:rFonts w:ascii="Times New Roman" w:eastAsia="Times New Roman" w:hAnsi="Times New Roman" w:cs="Times New Roman"/>
                      <w:b/>
                      <w:bCs/>
                      <w:sz w:val="40"/>
                      <w:szCs w:val="40"/>
                    </w:rPr>
                    <w:t>ортальна гіпертензія</w:t>
                  </w:r>
                  <w:r w:rsidRPr="001176A2">
                    <w:rPr>
                      <w:rFonts w:ascii="Times New Roman" w:eastAsia="Times New Roman" w:hAnsi="Times New Roman" w:cs="Times New Roman"/>
                      <w:b/>
                      <w:bCs/>
                      <w:sz w:val="40"/>
                      <w:szCs w:val="40"/>
                      <w:lang w:val="ru-RU"/>
                    </w:rPr>
                    <w:t>.</w:t>
                  </w:r>
                </w:p>
              </w:tc>
            </w:tr>
          </w:tbl>
          <w:p w:rsidR="009F6BC6" w:rsidRPr="009F6BC6" w:rsidRDefault="009F6BC6" w:rsidP="009F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C0CA6" w:rsidRPr="00EC0CA6" w:rsidTr="009F6BC6">
        <w:trPr>
          <w:tblCellSpacing w:w="37" w:type="dxa"/>
        </w:trPr>
        <w:tc>
          <w:tcPr>
            <w:tcW w:w="0" w:type="auto"/>
            <w:vAlign w:val="center"/>
            <w:hideMark/>
          </w:tcPr>
          <w:p w:rsidR="009F6BC6" w:rsidRPr="009F6BC6" w:rsidRDefault="009F6BC6" w:rsidP="009F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C0CA6" w:rsidRPr="00EC0CA6" w:rsidTr="009F6BC6">
        <w:trPr>
          <w:tblCellSpacing w:w="37" w:type="dxa"/>
        </w:trPr>
        <w:tc>
          <w:tcPr>
            <w:tcW w:w="0" w:type="auto"/>
            <w:vAlign w:val="center"/>
            <w:hideMark/>
          </w:tcPr>
          <w:p w:rsidR="009F6BC6" w:rsidRPr="009F6BC6" w:rsidRDefault="009F6BC6" w:rsidP="009F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C0CA6" w:rsidRPr="00EC0CA6" w:rsidTr="009F6BC6">
        <w:trPr>
          <w:tblCellSpacing w:w="37" w:type="dxa"/>
        </w:trPr>
        <w:tc>
          <w:tcPr>
            <w:tcW w:w="0" w:type="auto"/>
            <w:vAlign w:val="center"/>
            <w:hideMark/>
          </w:tcPr>
          <w:p w:rsid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6A2" w:rsidRPr="009F6BC6" w:rsidRDefault="001176A2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BC6" w:rsidRPr="009F6BC6" w:rsidRDefault="00EC0CA6" w:rsidP="00EC0CA6">
            <w:pPr>
              <w:spacing w:before="105" w:after="105" w:line="240" w:lineRule="auto"/>
              <w:ind w:firstLine="4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C0C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</w:t>
            </w:r>
            <w:r w:rsidR="009F6BC6" w:rsidRPr="009F6B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индром портальної гіпертензії.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Клінічні форми: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·          допечінковий блок;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·          внутрішньопечінковий блок;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·          надпечінковий блок (синдром Бадда-Хіарі);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·          змішаний блок;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·          посилення гепато-петальної циркуляції у зв’язку із утворенням артеріо-венозних фістул.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Діагностика на догоспітальному етапі: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1)анамнез життя та хвороби (чи була блювота або стул з домішками крові, чи обстежувалась дитина раніше і з якими результатами, які види лікування отримувала на момент огляду, чи був ефект від консервативного лікування, як перебігала вагітність у матері, чи не було в період новонародженості сепсису, омфаліту, гепатиту тощо);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2)скарги — збільшення черевної порожнини, безпричинне підвищення температури тіла, гепатомегалії або спленомегалії; може мати місто блювота з домішками крові або стул з домішками крові (мелена);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3)загальний огляд хворого, який дозволяє оцінити стан дитини — блідість шкірних покривів, підвищення температури тіла, збільшення об’єму живота, розширення реберної дуги та виявлення венозних колекторів на передній черевній стінці;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4)УЗД паренхіматозних органів живота;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5)ФЕГС.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При відсутності варикозно-розширених вен стровоходу та шлунку проводиться консультація гематолога.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Терапія на догоспітальному етапі: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1)доставити пацієнта у відділення дитячої хірургії з метою встановлення діагнозу, проведення диференційної діагностики та при наявності кровотечі — зупинка останньої та визначення тактики лікування;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2)при постановці діагнозу на ранніх компенсованих стадіях пацієнти знаходяться під наглядом гастроентеролога з призначеним режимом обмежених фізичних навантажень і харчування.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Діагностика на госпітальному етапі: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1)загальний аналіз крові (зниження Hb, лейко- та тромбоцитопенія);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2)біохімічні дослідження крові з визначенням функціональних печінкових проб (підвищення активності сироваткових ферментів, незначне підвищення непрямого білірубіну плазми крові, зниження протромбінового індексу);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3)ангіографія нижньої полої вени, печінкових вен та правого передсердя;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4)ФЕГДС (розміри і ступінь варикозно-розширених вен стравоходу та шлунку, запальні зміни слизової оболонки стравоходу із набряком та гіперемією, </w:t>
            </w: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ерозії — проводиться в стаціонарі обов’язково, не дивлячись на те, чи виконувалась вона на догоспітальному етапі в інших лікарнях, з метою можливості визначення тактики лікування та можливостей застосування ендоскопічного склерозування вен стравоходу;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5)УЗД — з метою з’ясування структури та анатомічних особливостей печінки, селезінки, підшлункової залози та нирок, для більш точного проведення диференційної діагностики між до- та внутрішньопечінковою формою портальної гіпертензії,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 рівня та характеру прохідності системи ворітної вени, вивчення особливостей колатерального кровотоку та розмірів селезінкової вени;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6)спленопортоманометрія і графія — високоінформативні методи діагностики, але виконувати їх потрібно в день операції після прийняття рішення щодо операційного лікування.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Консервативне лікування: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1)припинення стравохідно-шлункової кровотечі або попередження її виникнення;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2)лікування печінкової недостатності.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3)враховуючи важливу роль підвищення портального тиску, ураження слизової оболонки стравоходу, а також наявність кислотно-пептичного чинника в патогенезі стравохідно-шлункових кровотеч, до комплексу терапії включені: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корекція порушень гемокоагуляції;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усунення агресивного впливу шлункового соку на слизову оболонку стравоходу;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 стимуляція регенерації слизової оболонки стравоходу та шлунка;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 тампонада варикозно-розширених вен стравоходу зондом Блекмора.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При вирішенні питання про доцільність хірургічного втручання при затяжній кровотечі, враховуючи ступінь втрати крові, функціональний стан печінки та ефективність лікування, слід застосовувати таку схему: при легкому ступені крововтрати проводиться консервативна терапія, але в разі її неефективності протягом 24-48 годин рекомендовано хірургічне лікування.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Хірургічне лікування</w:t>
            </w: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 — при середньому ступені та значній крововтраті з порушенням функції печінки (з передопераційною підготовкою, включаючи застосування зонду-обтуратора для тимчасової зупинки кровотечі).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Варіанти хірургічного лікування синдрому портальної гіпертензії з урахуванням її форми наступні.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1.Регіонарна декомпресія портального тиску і гастроезофагеальних вен: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методом накладання дистального спленоренального анастомозу (ДСРА);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внутрішньошлункове роз’єднання гастроезофагеального колатерального кровотоку шляхом прошивання “розетки” стравоходу на всьому периметрі.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2.Варіант операції передбачається при допечінковій блокаді з видаленням або при раніше видаленій селезінці.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 теперішній час спленектомія при портальній гіпертензії виконується у таких випадках: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а)коли великі розміри селезінки перешкоджають росту органів черевної порожнини, а також заважають виконанню оперативного втручання;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б)при наявності судинної фістули між селезінковою артерією і селезінковою веною;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в)при сегментарній допечінковій портальній гіпертензії внаслідок непрохідності селезінкової вени —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 проксимальний спленоренальний, мезентерікоренальний, мезентерикокавальний або спленосупраренальний;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перев’язування коронарної вени шлунка;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через шлункове роз’єднання гастроезофагеального  кровотоку шляхом прошивання строхідно-шлункового переходу на всьому периметрі.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3.Варіант скороченого обсягу операції у зв’язку із тяжким станом пацієнта (під час стравохідно-кишкової кровотечі) або у дітей раннього віку — екстра- та інтрашлункові роз’єднання колатерального кровотоку методом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прошивання шлункової вени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внутрішньошлункового прошивання вен стравохідно-шлункового переходу на всьому периметрі.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4.Варіант для внутрішньопечінкового блоку може складатись з 1, 2 або 3 варіантів в залежності від функціонального стану печінки та віку хворого.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Серед вищевказаних методик найбільш доцільною вважаємо накладання ДСРА в поєднанні з прошиванням шлунково-стравохідного переходу.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Операція передбачає: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 звільнення селезінкової вени від підшлункової залози;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 виділення та перев’язування лівої шлункової вени, правої шлункової вени та шлунково-поперечно-ободової аркади.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Наркоз — ендотрахеальний.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Верхньосерединна широка лапаротомія.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Особливу увагу приділяють виділенню селезінкової вени. Необхідно атравматично відділити її від тіла підшлункової залози з ретельною перев’язкою дрібних колатералей. Селезінкову вену доцільно виділити до місця злиття з верхньою брижовою веною, бажано з перев’язкою лівої шлункової вени. Також перев’язують нижню брижкову, надниркову і, в залежності від статі хворого, оваріальну або семенну вени. Після перев’язки центрального кінця селезінкової вени та її перетину перетягують турнікетами ліву ниркову вену і висікають на її передній стінці овальний отвір, рівний діаметру селезінковоїт вени. Після промивання розчином гепарину анастомозуючих ділянок селезінкової та лівої ниркової вени накладають ДСРА “кінець-в-бік” нитками пролен 5/0–6/0. При цьому задня губа формується безперервним швом, а передня — окремими вузловими, що дозволяє запобігти гофруванню стінок судин (діаметр від 0,5 до 1,3 см), а також дає змогу збільшення шунтуючого анастомозу відповідно росту </w:t>
            </w: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дитини. Оптимальний діаметр селезінкової вени для анастомозування не менше, ніж 8-10 мм.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створення транселезінкової декомпресії прошивають та перев’язують ліву шлункову вену. Потім “П”-подібними швами циркулярно по периметру обшивають на рівні стравохідно-шлункового переходу слизову та підслизову оболонки. Зазвичай 12-15 швів. Профілактику стенозу стравохідного отвору шлунку проводимо за допомогою зонду, введеного через ніс, який залишають в шлунку 4-5 діб після операції. На гастротомний розтин накладають дворядний шов. Черевну порожнину дренують та пошарово зашивають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Післяопераційне лікування: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1)протягом 4-5 діб — на парентеральному харчуванні;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2)переливання 10% розчину глюкози, амінокапронової кислоти, альбуміну, плазми;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3)з метою профілактики тромбозів анамтомозів — інгібітори протеолізу, гепатопротектори, антибіотики;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4)введення реополіглюкіну із розрахунку 6-8 мл/кг;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5)підтримання часу згортання в межах 6-8-10 хв.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 випискою із стаціонару всім пацієнтам проводиться УЗД та ФЕГС на 10 добу після операції, за допомогою якого контролюється прохідність шунта, зменшення напруження та довжини варикозно-розширених вен стравоходу та шлунку.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Диспансерний нагляд: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здійснюється педіатром та хірургом за місцем проживання. Діти, які перенесли ДСРА, підлягають повному обстеженню не менше 2 разів на рік. Проводиться: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контроль загального аналізу крові (показники кількості лейкоцитів, еритроцитів, тромбоцитів, рівень гемоглобіну, гематокриту);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контроль біохімічного аналізу крові (рівень білірубіну, АЛТ, АСТ, тімолова проба, лужна фосфатаза, альфа-амілаза);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ФЕГС;</w:t>
            </w:r>
          </w:p>
          <w:p w:rsidR="009F6BC6" w:rsidRP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-  УЗД.</w:t>
            </w:r>
          </w:p>
          <w:p w:rsidR="009F6BC6" w:rsidRDefault="009F6BC6" w:rsidP="009F6BC6">
            <w:pPr>
              <w:spacing w:before="105" w:after="105" w:line="240" w:lineRule="auto"/>
              <w:ind w:firstLine="4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BC6">
              <w:rPr>
                <w:rFonts w:ascii="Times New Roman" w:eastAsia="Times New Roman" w:hAnsi="Times New Roman" w:cs="Times New Roman"/>
                <w:sz w:val="28"/>
                <w:szCs w:val="28"/>
              </w:rPr>
              <w:t>Діти, які хворіли омфалітом, пупковим сепсисом, гемолітичною хворобою новонароджених, гепатитом, а також яким здійснювалась катетеризація пуповинної вени, належать до групи ризику щодо розвитку синдрому портальної гіпертензії та підлягають диспансерному нагляду.</w:t>
            </w:r>
          </w:p>
          <w:p w:rsidR="009F6BC6" w:rsidRPr="001176A2" w:rsidRDefault="009F6BC6" w:rsidP="00FD2A22">
            <w:pPr>
              <w:shd w:val="clear" w:color="auto" w:fill="FFFFFF"/>
              <w:spacing w:before="100" w:beforeAutospacing="1" w:after="24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E4E4C" w:rsidRPr="00EC0CA6" w:rsidRDefault="005E4E4C" w:rsidP="005E4E4C">
      <w:pPr>
        <w:rPr>
          <w:rFonts w:ascii="Times New Roman" w:hAnsi="Times New Roman" w:cs="Times New Roman"/>
          <w:sz w:val="28"/>
          <w:szCs w:val="28"/>
        </w:rPr>
      </w:pPr>
    </w:p>
    <w:sectPr w:rsidR="005E4E4C" w:rsidRPr="00EC0CA6" w:rsidSect="00B226C6">
      <w:footerReference w:type="default" r:id="rId7"/>
      <w:pgSz w:w="11906" w:h="16838"/>
      <w:pgMar w:top="709" w:right="991" w:bottom="567" w:left="1134" w:header="708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EFB" w:rsidRDefault="00D30EFB" w:rsidP="00B226C6">
      <w:pPr>
        <w:spacing w:after="0" w:line="240" w:lineRule="auto"/>
      </w:pPr>
      <w:r>
        <w:separator/>
      </w:r>
    </w:p>
  </w:endnote>
  <w:endnote w:type="continuationSeparator" w:id="0">
    <w:p w:rsidR="00D30EFB" w:rsidRDefault="00D30EFB" w:rsidP="00B2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78063"/>
      <w:docPartObj>
        <w:docPartGallery w:val="Page Numbers (Bottom of Page)"/>
        <w:docPartUnique/>
      </w:docPartObj>
    </w:sdtPr>
    <w:sdtEndPr/>
    <w:sdtContent>
      <w:p w:rsidR="00B226C6" w:rsidRDefault="0037005D">
        <w:pPr>
          <w:pStyle w:val="a7"/>
          <w:jc w:val="right"/>
        </w:pPr>
        <w:r>
          <w:fldChar w:fldCharType="begin"/>
        </w:r>
        <w:r w:rsidR="006A770E">
          <w:instrText xml:space="preserve"> PAGE   \* MERGEFORMAT </w:instrText>
        </w:r>
        <w:r>
          <w:fldChar w:fldCharType="separate"/>
        </w:r>
        <w:r w:rsidR="001176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226C6" w:rsidRDefault="00B226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EFB" w:rsidRDefault="00D30EFB" w:rsidP="00B226C6">
      <w:pPr>
        <w:spacing w:after="0" w:line="240" w:lineRule="auto"/>
      </w:pPr>
      <w:r>
        <w:separator/>
      </w:r>
    </w:p>
  </w:footnote>
  <w:footnote w:type="continuationSeparator" w:id="0">
    <w:p w:rsidR="00D30EFB" w:rsidRDefault="00D30EFB" w:rsidP="00B22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F67A5"/>
    <w:multiLevelType w:val="singleLevel"/>
    <w:tmpl w:val="CE08977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15424ABB"/>
    <w:multiLevelType w:val="hybridMultilevel"/>
    <w:tmpl w:val="54D292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36C2E"/>
    <w:multiLevelType w:val="hybridMultilevel"/>
    <w:tmpl w:val="FDDC76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5859F1"/>
    <w:multiLevelType w:val="singleLevel"/>
    <w:tmpl w:val="6AE8B9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 w15:restartNumberingAfterBreak="0">
    <w:nsid w:val="24464CDB"/>
    <w:multiLevelType w:val="hybridMultilevel"/>
    <w:tmpl w:val="9D9AA4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61E18"/>
    <w:multiLevelType w:val="multilevel"/>
    <w:tmpl w:val="3622202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6" w15:restartNumberingAfterBreak="0">
    <w:nsid w:val="2D68342B"/>
    <w:multiLevelType w:val="multilevel"/>
    <w:tmpl w:val="878A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7D4509"/>
    <w:multiLevelType w:val="hybridMultilevel"/>
    <w:tmpl w:val="4212FE50"/>
    <w:lvl w:ilvl="0" w:tplc="DD687EE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72"/>
        <w:szCs w:val="7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881D77"/>
    <w:multiLevelType w:val="singleLevel"/>
    <w:tmpl w:val="413E3AD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3783619E"/>
    <w:multiLevelType w:val="hybridMultilevel"/>
    <w:tmpl w:val="A6F450BA"/>
    <w:lvl w:ilvl="0" w:tplc="34481F20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</w:lvl>
    <w:lvl w:ilvl="1" w:tplc="77CC2F32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8BC462D"/>
    <w:multiLevelType w:val="multilevel"/>
    <w:tmpl w:val="00900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EB7F29"/>
    <w:multiLevelType w:val="hybridMultilevel"/>
    <w:tmpl w:val="371209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D479A"/>
    <w:multiLevelType w:val="hybridMultilevel"/>
    <w:tmpl w:val="63E6D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017AB"/>
    <w:multiLevelType w:val="singleLevel"/>
    <w:tmpl w:val="572239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56CF0751"/>
    <w:multiLevelType w:val="hybridMultilevel"/>
    <w:tmpl w:val="AD005C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621BA"/>
    <w:multiLevelType w:val="hybridMultilevel"/>
    <w:tmpl w:val="229637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284D"/>
    <w:multiLevelType w:val="hybridMultilevel"/>
    <w:tmpl w:val="438232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C7F0B"/>
    <w:multiLevelType w:val="multilevel"/>
    <w:tmpl w:val="33EA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AE7026"/>
    <w:multiLevelType w:val="hybridMultilevel"/>
    <w:tmpl w:val="12D27A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54FCC"/>
    <w:multiLevelType w:val="multilevel"/>
    <w:tmpl w:val="C5B65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5B1B85"/>
    <w:multiLevelType w:val="hybridMultilevel"/>
    <w:tmpl w:val="EDE6279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3B52BAA"/>
    <w:multiLevelType w:val="hybridMultilevel"/>
    <w:tmpl w:val="C56652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7"/>
  </w:num>
  <w:num w:numId="5">
    <w:abstractNumId w:val="6"/>
  </w:num>
  <w:num w:numId="6">
    <w:abstractNumId w:val="15"/>
  </w:num>
  <w:num w:numId="7">
    <w:abstractNumId w:val="18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4"/>
  </w:num>
  <w:num w:numId="13">
    <w:abstractNumId w:val="21"/>
  </w:num>
  <w:num w:numId="14">
    <w:abstractNumId w:val="3"/>
  </w:num>
  <w:num w:numId="15">
    <w:abstractNumId w:val="8"/>
  </w:num>
  <w:num w:numId="16">
    <w:abstractNumId w:val="5"/>
  </w:num>
  <w:num w:numId="17">
    <w:abstractNumId w:val="0"/>
  </w:num>
  <w:num w:numId="18">
    <w:abstractNumId w:val="13"/>
  </w:num>
  <w:num w:numId="1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3775"/>
    <w:rsid w:val="00042213"/>
    <w:rsid w:val="001176A2"/>
    <w:rsid w:val="00133D6F"/>
    <w:rsid w:val="001B2803"/>
    <w:rsid w:val="001B2B21"/>
    <w:rsid w:val="001C77D8"/>
    <w:rsid w:val="001F54ED"/>
    <w:rsid w:val="00200EFA"/>
    <w:rsid w:val="00247991"/>
    <w:rsid w:val="002D2BCC"/>
    <w:rsid w:val="002E7CBC"/>
    <w:rsid w:val="003145DB"/>
    <w:rsid w:val="003236A2"/>
    <w:rsid w:val="00347BC0"/>
    <w:rsid w:val="0037005D"/>
    <w:rsid w:val="003E03FF"/>
    <w:rsid w:val="003E4765"/>
    <w:rsid w:val="004C726D"/>
    <w:rsid w:val="00544D4A"/>
    <w:rsid w:val="00577B9E"/>
    <w:rsid w:val="005C1452"/>
    <w:rsid w:val="005E4E4C"/>
    <w:rsid w:val="00600E4C"/>
    <w:rsid w:val="006243B0"/>
    <w:rsid w:val="00673298"/>
    <w:rsid w:val="006A770E"/>
    <w:rsid w:val="006C3775"/>
    <w:rsid w:val="006D29CF"/>
    <w:rsid w:val="006D58AC"/>
    <w:rsid w:val="006E7145"/>
    <w:rsid w:val="00726E60"/>
    <w:rsid w:val="00730908"/>
    <w:rsid w:val="00734659"/>
    <w:rsid w:val="007F7C3E"/>
    <w:rsid w:val="00897682"/>
    <w:rsid w:val="009A1CD1"/>
    <w:rsid w:val="009B368F"/>
    <w:rsid w:val="009D0767"/>
    <w:rsid w:val="009F6BC6"/>
    <w:rsid w:val="00A26F04"/>
    <w:rsid w:val="00A333FC"/>
    <w:rsid w:val="00A83E0D"/>
    <w:rsid w:val="00AC2931"/>
    <w:rsid w:val="00B226C6"/>
    <w:rsid w:val="00B45B49"/>
    <w:rsid w:val="00B5072D"/>
    <w:rsid w:val="00BB3C9F"/>
    <w:rsid w:val="00C4771C"/>
    <w:rsid w:val="00CD1EA1"/>
    <w:rsid w:val="00CD6789"/>
    <w:rsid w:val="00CE2AAB"/>
    <w:rsid w:val="00CE4C4E"/>
    <w:rsid w:val="00D01810"/>
    <w:rsid w:val="00D30EFB"/>
    <w:rsid w:val="00DB2FB6"/>
    <w:rsid w:val="00DD258B"/>
    <w:rsid w:val="00EC0CA6"/>
    <w:rsid w:val="00EF4083"/>
    <w:rsid w:val="00F47EEA"/>
    <w:rsid w:val="00F5771B"/>
    <w:rsid w:val="00F8521B"/>
    <w:rsid w:val="00F96076"/>
    <w:rsid w:val="00FD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AF8C"/>
  <w15:docId w15:val="{76718C64-0E00-46D5-B96A-760995EA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A1"/>
  </w:style>
  <w:style w:type="paragraph" w:styleId="2">
    <w:name w:val="heading 2"/>
    <w:basedOn w:val="a"/>
    <w:next w:val="a"/>
    <w:link w:val="20"/>
    <w:qFormat/>
    <w:rsid w:val="001B2803"/>
    <w:pPr>
      <w:keepNext/>
      <w:spacing w:after="0" w:line="240" w:lineRule="auto"/>
      <w:ind w:firstLine="851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B2803"/>
    <w:pPr>
      <w:keepNext/>
      <w:spacing w:after="0" w:line="240" w:lineRule="auto"/>
      <w:ind w:firstLine="851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29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85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1os-nabor">
    <w:name w:val="x1os-nabor"/>
    <w:basedOn w:val="a"/>
    <w:rsid w:val="0060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B2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26C6"/>
    <w:rPr>
      <w:lang w:val="uk-UA"/>
    </w:rPr>
  </w:style>
  <w:style w:type="paragraph" w:styleId="a7">
    <w:name w:val="footer"/>
    <w:basedOn w:val="a"/>
    <w:link w:val="a8"/>
    <w:uiPriority w:val="99"/>
    <w:unhideWhenUsed/>
    <w:rsid w:val="00B2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26C6"/>
    <w:rPr>
      <w:lang w:val="uk-UA"/>
    </w:rPr>
  </w:style>
  <w:style w:type="paragraph" w:styleId="a9">
    <w:name w:val="Plain Text"/>
    <w:basedOn w:val="a"/>
    <w:link w:val="aa"/>
    <w:rsid w:val="001B2803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aa">
    <w:name w:val="Текст Знак"/>
    <w:basedOn w:val="a0"/>
    <w:link w:val="a9"/>
    <w:rsid w:val="001B2803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1B2803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1B2803"/>
    <w:rPr>
      <w:rFonts w:ascii="Times New Roman" w:eastAsia="Times New Roman" w:hAnsi="Times New Roman" w:cs="Times New Roman"/>
      <w:caps/>
      <w:sz w:val="28"/>
      <w:szCs w:val="20"/>
      <w:lang w:val="uk-UA" w:eastAsia="ru-RU"/>
    </w:rPr>
  </w:style>
  <w:style w:type="paragraph" w:styleId="ad">
    <w:name w:val="Body Text Indent"/>
    <w:basedOn w:val="a"/>
    <w:link w:val="ae"/>
    <w:semiHidden/>
    <w:rsid w:val="001B280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1B280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B28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B2803"/>
    <w:rPr>
      <w:lang w:val="uk-UA"/>
    </w:rPr>
  </w:style>
  <w:style w:type="character" w:customStyle="1" w:styleId="20">
    <w:name w:val="Заголовок 2 Знак"/>
    <w:basedOn w:val="a0"/>
    <w:link w:val="2"/>
    <w:rsid w:val="001B280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B280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B28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B2803"/>
    <w:rPr>
      <w:sz w:val="16"/>
      <w:szCs w:val="16"/>
      <w:lang w:val="uk-UA"/>
    </w:rPr>
  </w:style>
  <w:style w:type="paragraph" w:customStyle="1" w:styleId="western">
    <w:name w:val="western"/>
    <w:basedOn w:val="a"/>
    <w:rsid w:val="009D0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D0767"/>
  </w:style>
  <w:style w:type="paragraph" w:styleId="af">
    <w:name w:val="Body Text"/>
    <w:basedOn w:val="a"/>
    <w:link w:val="af0"/>
    <w:uiPriority w:val="99"/>
    <w:semiHidden/>
    <w:unhideWhenUsed/>
    <w:rsid w:val="005C145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C1452"/>
  </w:style>
  <w:style w:type="table" w:styleId="af1">
    <w:name w:val="Table Grid"/>
    <w:basedOn w:val="a1"/>
    <w:rsid w:val="001F5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A3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333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1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1367</Words>
  <Characters>7793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jon malkovich</cp:lastModifiedBy>
  <cp:revision>6</cp:revision>
  <dcterms:created xsi:type="dcterms:W3CDTF">2013-01-12T13:08:00Z</dcterms:created>
  <dcterms:modified xsi:type="dcterms:W3CDTF">2023-11-28T20:58:00Z</dcterms:modified>
</cp:coreProperties>
</file>